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B48" w:rsidRPr="00AC7503" w:rsidRDefault="00AC7503" w:rsidP="00AC7503">
      <w:pPr>
        <w:spacing w:line="560" w:lineRule="exact"/>
        <w:jc w:val="center"/>
        <w:rPr>
          <w:rFonts w:ascii="方正小标宋简体" w:eastAsia="方正小标宋简体" w:hAnsi="微软雅黑" w:hint="eastAsia"/>
          <w:bCs/>
          <w:color w:val="000000"/>
          <w:sz w:val="44"/>
          <w:szCs w:val="44"/>
        </w:rPr>
      </w:pPr>
      <w:r w:rsidRPr="00AC7503">
        <w:rPr>
          <w:rFonts w:ascii="方正小标宋简体" w:eastAsia="方正小标宋简体" w:hAnsi="微软雅黑" w:hint="eastAsia"/>
          <w:bCs/>
          <w:color w:val="000000"/>
          <w:sz w:val="44"/>
          <w:szCs w:val="44"/>
        </w:rPr>
        <w:t>2023年预算绩效管理工作开展情况说明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AC750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一、制度建设情况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按照建立全方位、全过程、全覆盖预算绩效管理体系的要求，结合工作实际，2023年菏泽市本级修订完善《菏泽市新增重大政策和项目预算事前绩效评估管理办法》，进一步明确事前绩效评估责任主体、评估对象、评估内容等；制定《菏泽市市级成本预算绩效管理操作规程（试行）》，加强全过程成本预算绩效管理，“1+2+N”绩效管理制度体系更富实效。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AC750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二、全方位、全过程、全覆盖预算绩效管理工作开展情况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2023年，为提升菏泽预算绩效管理“三全”体系建设质量，推动全市预算绩效管理体系建设由全面建成向高质量建成迈进，财政部门在全市组织开展预算绩效管理“提质增效”行动。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楷体" w:eastAsia="楷体" w:hAnsi="楷体" w:cs="宋体" w:hint="eastAsia"/>
          <w:color w:val="000000"/>
          <w:kern w:val="0"/>
          <w:sz w:val="32"/>
          <w:szCs w:val="32"/>
        </w:rPr>
      </w:pPr>
      <w:r w:rsidRPr="00AC7503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（一）提升绩效目标质量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按照“谁申请预算谁编制绩效目标”“谁批复预算谁审核绩效目标”的原则，进一步压实绩效目标的编制、审核责任，加强对部门单位项目支出、转移支付，以及部门整体绩效目标的审核把关，关注绩效目标与预算安排的匹配度。推动绩效目标与预算同步审核、同步批复、同步报送人大，主动接受监督。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楷体" w:eastAsia="楷体" w:hAnsi="楷体" w:cs="宋体" w:hint="eastAsia"/>
          <w:color w:val="000000"/>
          <w:kern w:val="0"/>
          <w:sz w:val="32"/>
          <w:szCs w:val="32"/>
        </w:rPr>
      </w:pPr>
      <w:r w:rsidRPr="00AC7503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（二）强化部门整体绩效管理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2023年，市级85个部门全部纳入部门整体绩效管理范围，实现部门整体绩效管理全覆盖。选择市民政局、市商务局等4个市直部门单位开展财政重点评价，通过评价，完善部门整体绩效管理机制，探索部门整体绩效管理与重大政策和项目绩效管理有机结合的路径，督促部门提高履职水平和核心业务实施效果。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楷体" w:eastAsia="楷体" w:hAnsi="楷体" w:cs="宋体" w:hint="eastAsia"/>
          <w:color w:val="000000"/>
          <w:kern w:val="0"/>
          <w:sz w:val="32"/>
          <w:szCs w:val="32"/>
        </w:rPr>
      </w:pPr>
      <w:r w:rsidRPr="00AC7503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（三）增强绩效运行监控实效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组织部门单位对所有项目的预算执行和项目进展实时“双监控”，对预算绩效监控工作中发现的预算执行进度慢于时间进度40个百分点以上的市级重大项目实施财政重点监控，对苗头性、趋势性问题做到早发现、早预警、早纠正，确保财政资金高效使用，绩效目标如期实现。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楷体" w:eastAsia="楷体" w:hAnsi="楷体" w:cs="宋体" w:hint="eastAsia"/>
          <w:color w:val="000000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（四）提高绩效评价质量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一是在部门单位绩效自评全覆盖的基础上，财政部门加大自评抽查复核力度，重点解决绩效自评分数虚高等问题。二是选择贯彻市委市政府重大决策部署、资金量大、社会关注度高、建设周期长的项目，开展财政重点评价。2023年共选择13个政策、项目开展财政重点评价，涉及民生保障、公共建设等多个领域。通过财政重点评价，共发现问题92条，提出整改意见建议94条。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楷体" w:eastAsia="楷体" w:hAnsi="楷体" w:cs="宋体" w:hint="eastAsia"/>
          <w:color w:val="000000"/>
          <w:kern w:val="0"/>
          <w:sz w:val="32"/>
          <w:szCs w:val="32"/>
        </w:rPr>
      </w:pPr>
      <w:r w:rsidRPr="00AC7503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（五）拓展绩效管理覆盖范围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继续推进政府性基金预算、国有资本经营预算和社保基金预算绩效管理，将预算绩效管理覆盖“四本预算”。进一步探索政府投资基金、政府采购、政府购买服务等领域绩效</w:t>
      </w: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管理，加强转移支付、政府债券项目绩效管理，拓展预算绩效管理的广度和深度。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AC750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三、主要成效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楷体" w:eastAsia="楷体" w:hAnsi="楷体" w:cs="宋体" w:hint="eastAsia"/>
          <w:color w:val="000000"/>
          <w:kern w:val="0"/>
          <w:sz w:val="32"/>
          <w:szCs w:val="32"/>
        </w:rPr>
      </w:pPr>
      <w:r w:rsidRPr="00AC7503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（一）深化成本预算绩效管理改革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印发《菏泽市全面实施成本预算绩效管理工作实施方案》《菏泽市市级成本预算绩效管理工作规程》，为成本预算绩效管理和成本效益分析提供工作规程和操作指南；组织部门单位在项目入库环节分析成本、预算编制环节细化成本、预算执行环节控制成本、预算完成后评价成本，强化全过程成本预算绩效管理；开展重点项目的成本效益分析，全市共选取25个项目开展成本效益分析，涵盖场馆运行、城市管理、老旧小区改造、农村公路建设、公交运营等多个领域，按照核成本、评绩效、出定额、促管理的思路，制定出台财政支出标准27个，推动财政支出标准建设。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楷体" w:eastAsia="楷体" w:hAnsi="楷体" w:cs="宋体" w:hint="eastAsia"/>
          <w:color w:val="000000"/>
          <w:kern w:val="0"/>
          <w:sz w:val="32"/>
          <w:szCs w:val="32"/>
        </w:rPr>
      </w:pPr>
      <w:r w:rsidRPr="00AC7503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（二）做实事前绩效评估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修订完善《菏泽市新增重大政策和项目预算事前绩效评估管理办法》，在部门事前绩效评估基础上，选择5个重点项目开展财政事前绩效评估，涉及城市基础设施提升改造、生态环境保护、工业经济高质量发展等多个领域。探索“事前评估+预算评审+成本效益分析”融合方法，通过事前绩效评估，核减预算资金4159.86万元。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楷体" w:eastAsia="楷体" w:hAnsi="楷体" w:cs="宋体" w:hint="eastAsia"/>
          <w:color w:val="000000"/>
          <w:kern w:val="0"/>
          <w:sz w:val="32"/>
          <w:szCs w:val="32"/>
        </w:rPr>
      </w:pPr>
      <w:r w:rsidRPr="00AC7503">
        <w:rPr>
          <w:rFonts w:ascii="楷体" w:eastAsia="楷体" w:hAnsi="楷体" w:cs="宋体" w:hint="eastAsia"/>
          <w:color w:val="000000"/>
          <w:kern w:val="0"/>
          <w:sz w:val="32"/>
          <w:szCs w:val="32"/>
        </w:rPr>
        <w:t>（三）强化结果应用</w:t>
      </w:r>
    </w:p>
    <w:p w:rsidR="00AC7503" w:rsidRPr="00AC7503" w:rsidRDefault="00AC7503" w:rsidP="00AC7503">
      <w:pPr>
        <w:widowControl/>
        <w:spacing w:line="560" w:lineRule="exact"/>
        <w:ind w:firstLine="48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</w:pP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通过预算绩效管理工作的有效开展，共压减预算资金或调整支出方向4966.86万元，有效减轻了减税降费、后疫情</w:t>
      </w:r>
      <w:r w:rsidRPr="00AC7503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时代给财政带来的压力，提高了财政资源配置效率和资金使用效益。</w:t>
      </w:r>
    </w:p>
    <w:p w:rsidR="00AC7503" w:rsidRPr="00AC7503" w:rsidRDefault="00AC7503" w:rsidP="00AC7503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sectPr w:rsidR="00AC7503" w:rsidRPr="00AC7503" w:rsidSect="00DD5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7503"/>
    <w:rsid w:val="00AC7503"/>
    <w:rsid w:val="00DD5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autoRedefine/>
    <w:uiPriority w:val="39"/>
    <w:semiHidden/>
    <w:unhideWhenUsed/>
    <w:rsid w:val="00AC75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6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2024-12-16T06:09:00Z</dcterms:created>
  <dcterms:modified xsi:type="dcterms:W3CDTF">2024-12-16T06:12:00Z</dcterms:modified>
</cp:coreProperties>
</file>