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DA7" w:rsidRDefault="00C87DA7" w:rsidP="00C87DA7">
      <w:pPr>
        <w:spacing w:line="560" w:lineRule="exact"/>
        <w:jc w:val="center"/>
        <w:rPr>
          <w:rFonts w:ascii="方正小标宋简体" w:eastAsia="方正小标宋简体" w:hAnsi="微软雅黑" w:hint="eastAsia"/>
          <w:bCs/>
          <w:color w:val="000000"/>
          <w:sz w:val="44"/>
          <w:szCs w:val="44"/>
        </w:rPr>
      </w:pPr>
    </w:p>
    <w:p w:rsidR="0049277B" w:rsidRDefault="00C87DA7" w:rsidP="00C87DA7">
      <w:pPr>
        <w:spacing w:line="560" w:lineRule="exact"/>
        <w:jc w:val="center"/>
        <w:rPr>
          <w:rFonts w:ascii="方正小标宋简体" w:eastAsia="方正小标宋简体" w:hAnsi="微软雅黑" w:hint="eastAsia"/>
          <w:bCs/>
          <w:color w:val="000000"/>
          <w:sz w:val="44"/>
          <w:szCs w:val="44"/>
        </w:rPr>
      </w:pPr>
      <w:r w:rsidRPr="00C87DA7">
        <w:rPr>
          <w:rFonts w:ascii="方正小标宋简体" w:eastAsia="方正小标宋简体" w:hAnsi="微软雅黑" w:hint="eastAsia"/>
          <w:bCs/>
          <w:color w:val="000000"/>
          <w:sz w:val="44"/>
          <w:szCs w:val="44"/>
        </w:rPr>
        <w:t>2024年三公经费情况说明</w:t>
      </w:r>
    </w:p>
    <w:p w:rsidR="00C87DA7" w:rsidRPr="00C87DA7" w:rsidRDefault="00C87DA7" w:rsidP="00C87DA7">
      <w:pPr>
        <w:spacing w:line="560" w:lineRule="exact"/>
        <w:jc w:val="center"/>
        <w:rPr>
          <w:rFonts w:ascii="方正小标宋简体" w:eastAsia="方正小标宋简体" w:hAnsi="微软雅黑" w:hint="eastAsia"/>
          <w:bCs/>
          <w:color w:val="000000"/>
          <w:sz w:val="44"/>
          <w:szCs w:val="44"/>
        </w:rPr>
      </w:pPr>
    </w:p>
    <w:p w:rsidR="00C87DA7" w:rsidRPr="00C87DA7" w:rsidRDefault="00C87DA7" w:rsidP="00C87DA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87DA7">
        <w:rPr>
          <w:rFonts w:ascii="仿宋_GB2312" w:eastAsia="仿宋_GB2312" w:hAnsi="微软雅黑" w:hint="eastAsia"/>
          <w:color w:val="000000"/>
          <w:sz w:val="32"/>
          <w:szCs w:val="32"/>
        </w:rPr>
        <w:t>2024年本级财政拨款安排“三公”经费3578.12万元，比上年减少243.10万元。其中：因公出国（境）支出481.00万元，比上年减少14.60万元，用于市直预算单位按规定公务出国（境）的国际旅费、住宿费、伙食补助费、公杂费、培训费等支出；公务用车购置及运行维护支出2748.40万元（公务用车购置费565.83万元，公务用车运行维护费2182.57万元），比上年减少148.10万元，用于市直预算单位按规定购置公务用车及燃料费、维修费、过路过桥费、保险费、租用费等支出；公务接待费支348.72万元，比上年减少80.40万元，用于市直预算单位按规定开支的各类公务接待（含外宾接待）支出。</w:t>
      </w:r>
    </w:p>
    <w:sectPr w:rsidR="00C87DA7" w:rsidRPr="00C87DA7" w:rsidSect="004927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7DA7"/>
    <w:rsid w:val="0049277B"/>
    <w:rsid w:val="00C87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7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2024-12-16T06:03:00Z</dcterms:created>
  <dcterms:modified xsi:type="dcterms:W3CDTF">2024-12-16T06:05:00Z</dcterms:modified>
</cp:coreProperties>
</file>